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75"/>
        <w:ind w:right="-113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</w:t>
      </w:r>
      <w:r>
        <w:rPr>
          <w:sz w:val="28"/>
          <w:szCs w:val="28"/>
          <w:u w:val="single"/>
        </w:rPr>
        <w:t xml:space="preserve">01.10.2020</w:t>
      </w:r>
      <w:r>
        <w:rPr>
          <w:sz w:val="28"/>
          <w:szCs w:val="28"/>
        </w:rPr>
        <w:t xml:space="preserve">__  № _</w:t>
      </w:r>
      <w:r>
        <w:rPr>
          <w:sz w:val="28"/>
          <w:szCs w:val="28"/>
          <w:u w:val="single"/>
        </w:rPr>
        <w:t xml:space="preserve">908</w:t>
      </w:r>
      <w:r>
        <w:rPr>
          <w:sz w:val="28"/>
          <w:szCs w:val="28"/>
        </w:rPr>
        <w:t xml:space="preserve">_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right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(в редакции постановления </w:t>
      </w: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</w:r>
    </w:p>
    <w:p>
      <w:pPr>
        <w:pStyle w:val="875"/>
        <w:jc w:val="right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администрации Бутурлинского </w:t>
      </w: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</w:r>
    </w:p>
    <w:p>
      <w:pPr>
        <w:pStyle w:val="875"/>
        <w:jc w:val="right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муниципального округа </w:t>
      </w: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</w:r>
    </w:p>
    <w:p>
      <w:pPr>
        <w:pStyle w:val="875"/>
        <w:jc w:val="right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Нижегородской области</w:t>
      </w: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</w:r>
    </w:p>
    <w:p>
      <w:pPr>
        <w:pStyle w:val="875"/>
        <w:jc w:val="right"/>
      </w:pPr>
      <w:r>
        <w:rPr>
          <w:sz w:val="28"/>
          <w:szCs w:val="20"/>
          <w:lang w:eastAsia="ar-SA"/>
        </w:rPr>
        <w:t xml:space="preserve">от </w:t>
      </w:r>
      <w:r>
        <w:rPr>
          <w:sz w:val="28"/>
          <w:szCs w:val="20"/>
          <w:u w:val="single"/>
          <w:lang w:eastAsia="ar-SA"/>
        </w:rPr>
        <w:t xml:space="preserve">23.04.2026</w:t>
      </w:r>
      <w:r>
        <w:rPr>
          <w:sz w:val="28"/>
          <w:szCs w:val="20"/>
          <w:lang w:eastAsia="ar-SA"/>
        </w:rPr>
        <w:t xml:space="preserve"> № </w:t>
      </w:r>
      <w:r>
        <w:rPr>
          <w:sz w:val="28"/>
          <w:szCs w:val="20"/>
          <w:u w:val="single"/>
          <w:lang w:eastAsia="ar-SA"/>
        </w:rPr>
        <w:t xml:space="preserve">487</w:t>
      </w:r>
      <w:r>
        <w:rPr>
          <w:sz w:val="28"/>
          <w:szCs w:val="20"/>
          <w:lang w:eastAsia="ar-SA"/>
        </w:rPr>
        <w:t xml:space="preserve">)</w:t>
      </w:r>
      <w:r/>
      <w:r/>
    </w:p>
    <w:p>
      <w:pPr>
        <w:jc w:val="lef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75"/>
        <w:jc w:val="center"/>
        <w:rPr>
          <w:b/>
          <w:bCs/>
          <w:highlight w:val="none"/>
        </w:rPr>
      </w:pPr>
      <w:r>
        <w:rPr>
          <w:b/>
        </w:rPr>
        <w:t xml:space="preserve">АКТУАЛЬНАЯ РЕДАКЦИЯ</w:t>
      </w:r>
      <w:r>
        <w:rPr>
          <w:b/>
          <w:bCs/>
          <w:highlight w:val="none"/>
        </w:rPr>
      </w:r>
    </w:p>
    <w:p>
      <w:pPr>
        <w:pStyle w:val="875"/>
        <w:jc w:val="center"/>
        <w:rPr>
          <w:b/>
        </w:rPr>
      </w:pPr>
      <w:r>
        <w:rPr>
          <w:b/>
        </w:rPr>
        <w:t xml:space="preserve">МУНИЦИПАЛЬНОЙ ПРОГРАММЫ</w:t>
      </w:r>
      <w:r>
        <w:rPr>
          <w:b/>
        </w:rPr>
      </w:r>
      <w:r>
        <w:rPr>
          <w:b/>
        </w:rPr>
      </w:r>
    </w:p>
    <w:p>
      <w:pPr>
        <w:pStyle w:val="875"/>
        <w:jc w:val="center"/>
        <w:rPr>
          <w:b/>
        </w:rPr>
      </w:pPr>
      <w:r>
        <w:rPr>
          <w:b/>
        </w:rPr>
        <w:t xml:space="preserve">«РАЗВИТИЕ ПАССАЖИРСКОГО АВТОТРАНСПОРТА НА ТЕРРИТОРИИ</w:t>
      </w:r>
      <w:r>
        <w:rPr>
          <w:b/>
        </w:rPr>
      </w:r>
      <w:r>
        <w:rPr>
          <w:b/>
        </w:rPr>
      </w:r>
    </w:p>
    <w:p>
      <w:pPr>
        <w:pStyle w:val="875"/>
        <w:jc w:val="center"/>
        <w:rPr>
          <w:b/>
        </w:rPr>
      </w:pPr>
      <w:r>
        <w:rPr>
          <w:b/>
        </w:rPr>
        <w:t xml:space="preserve"> БУТУРЛИНСКОГО МУНИЦИПАЛЬНОГО ОКРУГА НИЖЕГОРОДСКОЙ ОБЛАСТИ»</w:t>
      </w:r>
      <w:r>
        <w:rPr>
          <w:b/>
        </w:rPr>
      </w:r>
      <w:r>
        <w:rPr>
          <w:b/>
        </w:rPr>
      </w:r>
    </w:p>
    <w:p>
      <w:pPr>
        <w:pStyle w:val="875"/>
      </w:pPr>
      <w:r/>
      <w:r/>
    </w:p>
    <w:p>
      <w:pPr>
        <w:pStyle w:val="875"/>
        <w:jc w:val="center"/>
      </w:pPr>
      <w:r>
        <w:t xml:space="preserve">(далее – Программа)</w:t>
      </w:r>
      <w:r/>
    </w:p>
    <w:p>
      <w:pPr>
        <w:pStyle w:val="875"/>
      </w:pPr>
      <w:r/>
      <w:r/>
    </w:p>
    <w:p>
      <w:pPr>
        <w:pStyle w:val="875"/>
        <w:jc w:val="center"/>
        <w:rPr>
          <w:b/>
        </w:rPr>
      </w:pPr>
      <w:r>
        <w:rPr>
          <w:b/>
          <w:lang w:val="en-US"/>
        </w:rPr>
        <w:t xml:space="preserve">I. </w:t>
      </w:r>
      <w:r>
        <w:rPr>
          <w:b/>
        </w:rPr>
        <w:t xml:space="preserve">ПАСПОРТ ПРОГРАММЫ</w:t>
      </w:r>
      <w:r>
        <w:rPr>
          <w:b/>
        </w:rPr>
      </w:r>
      <w:r>
        <w:rPr>
          <w:b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6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Наименование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Муниципальный заказчик-координатор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Администрация Бутурлинского муниципального округа Нижегородской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Соисполнитель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- Управление ЖКХ и строительства администрации Бутурлинского муниципального округа;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both"/>
            </w:pPr>
            <w:r>
              <w:t xml:space="preserve">- Отдел экономики, прогнозирования и инвестиционной политики администрации Бутурлинского муниципального округа;</w:t>
            </w:r>
            <w:r/>
          </w:p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- МБУ «Бутурлинпассажиравтотранс»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Цель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Удовлетворить потребности населения в услугах пассажирского транспорта для бытовых и производственных нужд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Задачи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Организовать безопасное и бесперебойное движение пассажирского транспорта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Этапы и сроки реализации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Программа реализ</w:t>
            </w:r>
            <w:r>
              <w:t xml:space="preserve">уется в один этап в 2021 - 2028</w:t>
            </w:r>
            <w:r>
              <w:t xml:space="preserve"> годы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jc w:val="both"/>
            </w:pPr>
            <w:r>
              <w:t xml:space="preserve">Объемы бюджетных ассигнований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</w:pPr>
            <w:r>
              <w:t xml:space="preserve">Предполагаемые источники финансирования программы:</w:t>
            </w:r>
            <w:r/>
          </w:p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- средства областного бюджета 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both"/>
            </w:pPr>
            <w:r>
              <w:t xml:space="preserve">- средства бюджета муниципального округа;</w:t>
            </w:r>
            <w:r/>
          </w:p>
          <w:p>
            <w:pPr>
              <w:pStyle w:val="875"/>
              <w:jc w:val="both"/>
            </w:pPr>
            <w:r>
              <w:t xml:space="preserve">- собственные средства организаций.</w:t>
            </w:r>
            <w:r/>
          </w:p>
          <w:p>
            <w:pPr>
              <w:pStyle w:val="875"/>
              <w:jc w:val="both"/>
            </w:pPr>
            <w:r>
              <w:t xml:space="preserve">Предполагаемые объемы финансирования программы за счет средств бюджета муниципального округа, </w:t>
            </w:r>
            <w:r>
              <w:t xml:space="preserve">128198</w:t>
            </w:r>
            <w:r>
              <w:t xml:space="preserve">,85158</w:t>
            </w:r>
            <w:r>
              <w:t xml:space="preserve"> тыс. рублей:</w:t>
            </w:r>
            <w:r/>
          </w:p>
          <w:p>
            <w:pPr>
              <w:pStyle w:val="875"/>
              <w:jc w:val="both"/>
            </w:pPr>
            <w:r>
              <w:t xml:space="preserve">- 2021 год – 6968,000 тыс. руб.;</w:t>
            </w:r>
            <w:r/>
          </w:p>
          <w:p>
            <w:pPr>
              <w:pStyle w:val="875"/>
              <w:jc w:val="both"/>
            </w:pPr>
            <w:r>
              <w:t xml:space="preserve">- 2022 год – </w:t>
            </w:r>
            <w:r>
              <w:t xml:space="preserve">26787,</w:t>
            </w:r>
            <w:r>
              <w:t xml:space="preserve">04793</w:t>
            </w:r>
            <w:r>
              <w:t xml:space="preserve"> тыс. руб.;</w:t>
            </w:r>
            <w:r/>
          </w:p>
          <w:p>
            <w:pPr>
              <w:pStyle w:val="875"/>
              <w:jc w:val="both"/>
            </w:pPr>
            <w:r>
              <w:t xml:space="preserve">- 2023 год – 12806,7557 тыс. руб.;</w:t>
            </w:r>
            <w:r/>
          </w:p>
          <w:p>
            <w:pPr>
              <w:pStyle w:val="875"/>
              <w:jc w:val="both"/>
            </w:pPr>
            <w:r>
              <w:t xml:space="preserve">- 2024 год – 16997,04795тыс. руб.;</w:t>
            </w:r>
            <w:r/>
          </w:p>
          <w:p>
            <w:pPr>
              <w:pStyle w:val="875"/>
              <w:jc w:val="both"/>
            </w:pPr>
            <w:r>
              <w:t xml:space="preserve">- 2025 год- </w:t>
            </w:r>
            <w:r>
              <w:t xml:space="preserve">16160,00</w:t>
            </w:r>
            <w:r>
              <w:t xml:space="preserve"> тыс. руб.</w:t>
            </w:r>
            <w:r/>
          </w:p>
          <w:p>
            <w:pPr>
              <w:pStyle w:val="875"/>
              <w:jc w:val="both"/>
            </w:pPr>
            <w:r>
              <w:t xml:space="preserve">-2026 год- </w:t>
            </w:r>
            <w:r>
              <w:t xml:space="preserve">19531</w:t>
            </w:r>
            <w:r>
              <w:t xml:space="preserve">,30</w:t>
            </w:r>
            <w:r>
              <w:t xml:space="preserve"> тыс. руб;</w:t>
            </w:r>
            <w:r/>
          </w:p>
          <w:p>
            <w:pPr>
              <w:pStyle w:val="875"/>
              <w:jc w:val="both"/>
            </w:pPr>
            <w:r>
              <w:t xml:space="preserve">-2027 год-</w:t>
            </w:r>
            <w:r>
              <w:t xml:space="preserve">17991,30</w:t>
            </w:r>
            <w:r>
              <w:t xml:space="preserve"> тыс.руб;</w:t>
            </w:r>
            <w:r/>
          </w:p>
          <w:p>
            <w:pPr>
              <w:pStyle w:val="875"/>
              <w:jc w:val="both"/>
            </w:pPr>
            <w:r>
              <w:t xml:space="preserve">-2028 год – 17991,30</w:t>
            </w:r>
            <w:r>
              <w:t xml:space="preserve"> программы за счет средств бюджета</w:t>
            </w:r>
            <w:r/>
          </w:p>
          <w:p>
            <w:pPr>
              <w:pStyle w:val="875"/>
              <w:jc w:val="both"/>
            </w:pPr>
            <w:r>
              <w:t xml:space="preserve">руб., в том числе</w:t>
            </w:r>
            <w:r/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2414"/>
              <w:gridCol w:w="341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Средства бюджета Бутурлинского муниципального округа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>
                    <w:t xml:space="preserve">Собственные средства МБУ «Бутурлинпассажиравтотранс»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2021г.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6968,000 тыс. 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0,0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2022г.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26787,</w:t>
                  </w:r>
                  <w:r>
                    <w:t xml:space="preserve">04793</w:t>
                  </w:r>
                  <w:r>
                    <w:t xml:space="preserve"> тыс.руб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0,0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2023г.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12806,7557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0,0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2024г.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16997,04795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  <w:rPr>
                      <w:lang w:eastAsia="en-US"/>
                    </w:rPr>
                  </w:pPr>
                  <w:r>
                    <w:t xml:space="preserve">0,0 тыс.руб</w:t>
                  </w:r>
                  <w:r>
                    <w:rPr>
                      <w:lang w:eastAsia="en-US"/>
                    </w:rPr>
                  </w:r>
                  <w:r>
                    <w:rPr>
                      <w:lang w:eastAsia="en-US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2025г.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1</w:t>
                  </w:r>
                  <w:r>
                    <w:t xml:space="preserve">6160</w:t>
                  </w:r>
                  <w:r>
                    <w:t xml:space="preserve">,00 тыс. руб.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0,0 тыс. руб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2026г.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19531</w:t>
                  </w:r>
                  <w:r>
                    <w:t xml:space="preserve">,30</w:t>
                  </w:r>
                  <w:r>
                    <w:t xml:space="preserve"> тыс.руб.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0,0 тыс. руб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2027г.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17991,30</w:t>
                  </w:r>
                  <w:r>
                    <w:t xml:space="preserve"> тыс.руб 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0,0 тыс руб 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5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14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17991,30</w:t>
                  </w:r>
                  <w:r>
                    <w:t xml:space="preserve"> тыс.руб 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6" w:type="dxa"/>
                  <w:vAlign w:val="top"/>
                  <w:textDirection w:val="lrTb"/>
                  <w:noWrap w:val="false"/>
                </w:tcPr>
                <w:p>
                  <w:pPr>
                    <w:pStyle w:val="875"/>
                    <w:jc w:val="both"/>
                  </w:pPr>
                  <w:r>
                    <w:t xml:space="preserve">0,0 тыс руб </w:t>
                  </w:r>
                  <w:r/>
                </w:p>
              </w:tc>
            </w:tr>
          </w:tbl>
          <w:p>
            <w:pPr>
              <w:pStyle w:val="875"/>
              <w:jc w:val="both"/>
            </w:pPr>
            <w:r>
              <w:t xml:space="preserve">(объемы финансирования мероприятий программы уточняются ежегодно при формировании районного бюджета на соответствующий финансовый год)</w:t>
            </w:r>
            <w:r/>
          </w:p>
          <w:p>
            <w:pPr>
              <w:pStyle w:val="875"/>
              <w:jc w:val="both"/>
            </w:pPr>
            <w:r>
              <w:t xml:space="preserve">Предполагаемые объемы финансирования из федерального бюджета, 0 тыс. руб.:</w:t>
            </w:r>
            <w:r/>
          </w:p>
          <w:p>
            <w:pPr>
              <w:pStyle w:val="875"/>
              <w:jc w:val="both"/>
            </w:pPr>
            <w:r>
              <w:t xml:space="preserve">  - 2021 год  -        0 тыс. руб.;</w:t>
            </w:r>
            <w:r/>
          </w:p>
          <w:p>
            <w:pPr>
              <w:pStyle w:val="875"/>
              <w:jc w:val="both"/>
            </w:pPr>
            <w:r>
              <w:t xml:space="preserve">  - 2022 год -         0 тыс. руб.;</w:t>
            </w:r>
            <w:r/>
          </w:p>
          <w:p>
            <w:pPr>
              <w:pStyle w:val="875"/>
              <w:jc w:val="both"/>
            </w:pPr>
            <w:r>
              <w:t xml:space="preserve">  - 2023 год  -        0 тыс. руб.;</w:t>
            </w:r>
            <w:r/>
          </w:p>
          <w:p>
            <w:pPr>
              <w:pStyle w:val="875"/>
              <w:jc w:val="both"/>
            </w:pPr>
            <w:r>
              <w:t xml:space="preserve">  - 2024 год  -        0 тыс. руб;</w:t>
            </w:r>
            <w:r/>
          </w:p>
          <w:p>
            <w:pPr>
              <w:pStyle w:val="875"/>
              <w:jc w:val="both"/>
            </w:pPr>
            <w:r>
              <w:t xml:space="preserve">  - 2025 год -         0 тыс. руб..</w:t>
            </w:r>
            <w:r/>
          </w:p>
          <w:p>
            <w:pPr>
              <w:pStyle w:val="875"/>
              <w:jc w:val="both"/>
            </w:pPr>
            <w:r>
              <w:t xml:space="preserve">  - .2026 год -         0 тыс. руб..</w:t>
            </w:r>
            <w:r/>
          </w:p>
          <w:p>
            <w:pPr>
              <w:pStyle w:val="875"/>
              <w:jc w:val="both"/>
            </w:pPr>
            <w:r>
              <w:t xml:space="preserve">  -  2027 год -         0 тыс.руб .</w:t>
            </w:r>
            <w:r/>
          </w:p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  -  2028-                 0 тыс. руб.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t xml:space="preserve">Индикаторы достижения цели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1. Увеличение объема перевозок пассажиров на 5%.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both"/>
            </w:pPr>
            <w:r>
              <w:t xml:space="preserve">2. Сохранение коэффициента обеспеченности населения автомобильным транспортом общего пользования на 1000 жителей не ниже 1,1.</w:t>
            </w:r>
            <w:r/>
          </w:p>
          <w:p>
            <w:pPr>
              <w:pStyle w:val="875"/>
              <w:jc w:val="both"/>
            </w:pPr>
            <w:r>
              <w:t xml:space="preserve">3. Увеличение вклада предприятия, осуществляющего пассажирские перевозки, в экономику округа в 2026 году по сравнению с 2019 годом:</w:t>
            </w:r>
            <w:r/>
          </w:p>
          <w:p>
            <w:pPr>
              <w:pStyle w:val="875"/>
              <w:jc w:val="both"/>
            </w:pPr>
            <w:r>
              <w:t xml:space="preserve">- увеличение налоговых поступлений в местный бюджет на 100 тысяч руб.</w:t>
            </w:r>
            <w:r/>
          </w:p>
          <w:p>
            <w:pPr>
              <w:pStyle w:val="875"/>
              <w:jc w:val="both"/>
              <w:rPr>
                <w:lang w:eastAsia="en-US"/>
              </w:rPr>
            </w:pPr>
            <w:r>
              <w:t xml:space="preserve">4. Снижение доли пассажирского подвижного состава с истекшим нормативным сроком службы до 40%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87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5"/>
        <w:ind w:firstLine="567"/>
        <w:jc w:val="center"/>
        <w:rPr>
          <w:b/>
        </w:rPr>
      </w:pPr>
      <w:r>
        <w:rPr>
          <w:b/>
        </w:rPr>
        <w:t xml:space="preserve">2. ОСНОВНОЕ СОДЕРЖАНИЕ</w:t>
      </w:r>
      <w:r>
        <w:rPr>
          <w:b/>
        </w:rPr>
      </w:r>
      <w:r>
        <w:rPr>
          <w:b/>
        </w:rPr>
      </w:r>
    </w:p>
    <w:p>
      <w:pPr>
        <w:pStyle w:val="875"/>
        <w:ind w:firstLine="567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Характеристика текущего состояния.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contextualSpacing/>
        <w:ind w:left="170" w:right="-113" w:firstLine="567"/>
        <w:jc w:val="both"/>
      </w:pPr>
      <w:r>
        <w:t xml:space="preserve">Состояние и развитие пассажирского транспорта имеет для Бутурлинского района большое значение.</w:t>
      </w:r>
      <w:r/>
    </w:p>
    <w:p>
      <w:pPr>
        <w:pStyle w:val="875"/>
        <w:contextualSpacing/>
        <w:ind w:left="170" w:right="-113" w:firstLine="567"/>
        <w:jc w:val="both"/>
        <w:spacing w:before="100" w:after="100"/>
      </w:pPr>
      <w:r>
        <w:t xml:space="preserve">В последнее десятилетие значительно возросла системообразующая роль транспорта и взаимосвязь задач его развития с приоритетами социально-экономических преобразований.</w:t>
      </w:r>
      <w:r/>
    </w:p>
    <w:p>
      <w:pPr>
        <w:pStyle w:val="909"/>
        <w:contextualSpacing/>
        <w:ind w:left="170" w:right="-113" w:firstLine="567"/>
        <w:jc w:val="both"/>
        <w:spacing w:beforeAutospacing="0" w:afterAutospacing="0"/>
      </w:pPr>
      <w:r>
        <w:t xml:space="preserve">Вместе с тем, несмотря на общую адаптацию транспорта к рыночным условиям, состояние транспортной системы в настоящее время нельзя считать оптимальным, а уровень ее развития достаточным.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Растущий спрос на качественные транспортные услуги удовлетворяется не полностью из-за недостаточного технического уровня транспортной системы и накопленного отставания в области транспортных технологий.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На фоне роста спроса на транспортные услуги и еще более значительного его увеличения в прогнозной перспективе в транспортной системе в целом. Недостаточен технический и технологический уровень транспортной техники и оборудования.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Так, коэффициент обеспеченности населения транспортом общего пользо</w:t>
      </w:r>
      <w:r>
        <w:t xml:space="preserve">вания (на 1000 жителей) в Бутурлинском районе составил 1,07 (ед.), то есть на </w:t>
      </w:r>
      <w:r>
        <w:t xml:space="preserve">1</w:t>
      </w:r>
      <w:r>
        <w:t xml:space="preserve">2</w:t>
      </w:r>
      <w:r>
        <w:t xml:space="preserve">7</w:t>
      </w:r>
      <w:r>
        <w:t xml:space="preserve">6</w:t>
      </w:r>
      <w:r>
        <w:t xml:space="preserve">6</w:t>
      </w:r>
      <w:r>
        <w:t xml:space="preserve"> жителей района приходится 10 единиц пассажирского транспорта, а в Нижегородской области средний коэффициент достиг 2,18 (ед.). За 202</w:t>
      </w:r>
      <w:r>
        <w:t xml:space="preserve">5</w:t>
      </w:r>
      <w:r>
        <w:t xml:space="preserve"> год перевезено 183 тыс. пассажиров.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Кроме того, средний возраст автобусов достиг значения 8 лет. Доля автобусов с износом 100% составляет 50%, что соответствует 8 автобусам. В 202</w:t>
      </w:r>
      <w:r>
        <w:t xml:space="preserve">6</w:t>
      </w:r>
      <w:r>
        <w:t xml:space="preserve"> году доля автобусов с</w:t>
      </w:r>
      <w:r>
        <w:t xml:space="preserve"> износом 100% составит 53 %, что соответствует 10 автобусам. В соответствии с постановлением Правительства РФ от 1 января 2002 года № 1 «О классификации основных средств, включаемых в амортизационные группы» нормативный срок использования составляет 7 лет.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В связи с этим возникла необходимость обновления подвижного состава для осуществления перевозки пассажиров в городском и пригородном сообщении.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На пассажирских перевозках отсутствуют эффективные механизмы финансовой компенсации перевозок льготных категорий пассажиров, что приводит к значительным убыткам транспортных организаций.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Изменившиеся социально-экономические условия потребовали уточнения приоритетов развития транспортной системы.</w:t>
      </w:r>
      <w:r/>
    </w:p>
    <w:p>
      <w:pPr>
        <w:pStyle w:val="909"/>
        <w:contextualSpacing/>
        <w:ind w:left="170" w:right="-113" w:firstLine="567"/>
        <w:jc w:val="both"/>
        <w:spacing w:beforeAutospacing="0" w:afterAutospacing="0"/>
      </w:pPr>
      <w:r/>
      <w:r/>
    </w:p>
    <w:p>
      <w:pPr>
        <w:pStyle w:val="875"/>
        <w:ind w:left="170" w:right="-113"/>
        <w:jc w:val="center"/>
        <w:spacing w:before="100" w:after="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Цели и задачи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Дальнейшее развитие пассажирского автотранспорта будет осуществляться для решения основной задачи - улучшения транспортного обслуживания населения Бутурлинского муниципального округа.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С этой целью продолжается работа по оптимизации маршрутной сети в Бутурлинском муниципальном округе.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Маршрутная сеть пассажирского автотранспорта организована на принципе социального транспорта и включает в себя 10 социальных автобусных маршрутов (2 междугородних, </w:t>
      </w:r>
      <w:r>
        <w:t xml:space="preserve">8</w:t>
      </w:r>
      <w:r>
        <w:t xml:space="preserve"> пригородных, 1 городской).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При организации автобусных маршрутов учтены: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- существующая улично-дорожная сеть Бутурлинского муниципального округа;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- наличие разворотных площадок и диспетчерских пунктов пассажирского автотранспорта.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Автобусные перевозки осуществляются по маршрутам, согласованным с администрацией Бутурлинского муниципального округа.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Планируется обновление подвижного состава, работающего на маршрутах в Бутурлинском муниципальном округе.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Замена социальных автобусов объективно необходима. Средний возраст автобусов на данных перевозках превысил нормативный срок полезного использования автобусов 7 лет и достиг значения 8 лет.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В связи с большим износом подвижного состава характерно нахождение в ремонте большого количества автобусов, срывы выполнения части рейсов по маршрутам, низкая комфортность поездок пассажиров в автобусах устаревших моделей.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Для восстановления нормальной работы пассажирского автотранспорта, используемого для социальных перевозок, необходимо провести единовременную замену значительного количества изношенного подвижного состава.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В зависимости от пассажиропотоков на маршрутах имеется востребованность в автобусах следующих категорий: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- автобусы особо малой вместимости (микроавтобус) - для работы на наименее загруженных пригородных маршрутах с незначительным пассажиропотоком;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- городские автобусы средней вместимости - для городских и пригородных перевозок в пределах Нижегородской области.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В рамках ре</w:t>
      </w:r>
      <w:r>
        <w:t xml:space="preserve">ализации настоящей Программы для замены изношенного подвижного состава, работающего на городских и пригородных социальных маршрутах, планируется закупка подвижного состава в количестве 4 единиц, на условиях финансирования из  бюджета муниципального округа.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Замена</w:t>
      </w:r>
      <w:r>
        <w:t xml:space="preserve"> изношенных автобусов в Бутурлинском муниципальном округе позволит обеспечить четкую регулярную работу автобусов на городских и пригородных маршрутах строго в соответствии с утвержденными расписаниями, значительно повысить качество обслуживания пассажиров.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С целью увеличения доходов от пассажирских перевозок изучаются различные коммерческие проекты, обеспечивающие повышение сбора выручки от проезда пассажиров.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>
        <w:t xml:space="preserve">Планируется внедрение на пассажирском транспорте автоматизированной системы контроля маршрутов и скоростного режима путем использования навигационной системы.</w:t>
      </w:r>
      <w:r/>
    </w:p>
    <w:p>
      <w:pPr>
        <w:pStyle w:val="910"/>
        <w:contextualSpacing/>
        <w:ind w:left="170" w:right="-113" w:firstLine="567"/>
        <w:jc w:val="both"/>
        <w:spacing w:beforeAutospacing="0" w:afterAutospacing="0"/>
      </w:pPr>
      <w:r/>
      <w:r/>
    </w:p>
    <w:p>
      <w:pPr>
        <w:pStyle w:val="910"/>
        <w:numPr>
          <w:ilvl w:val="1"/>
          <w:numId w:val="2"/>
        </w:numPr>
        <w:contextualSpacing/>
        <w:ind w:left="170" w:right="-113"/>
        <w:jc w:val="center"/>
        <w:spacing w:beforeAutospacing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contextualSpacing/>
        <w:ind w:left="170" w:right="-113" w:firstLine="567"/>
        <w:jc w:val="both"/>
        <w:spacing w:beforeAutospacing="0" w:afterAutospacing="0"/>
      </w:pPr>
      <w:r/>
      <w:r/>
    </w:p>
    <w:p>
      <w:pPr>
        <w:pStyle w:val="906"/>
        <w:contextualSpacing/>
        <w:ind w:left="170" w:right="-113" w:firstLine="567"/>
        <w:jc w:val="both"/>
        <w:spacing w:beforeAutospacing="0" w:afterAutospacing="0"/>
        <w:sectPr>
          <w:footnotePr/>
          <w:endnotePr/>
          <w:type w:val="nextPage"/>
          <w:pgSz w:w="11906" w:h="16838" w:orient="portrait"/>
          <w:pgMar w:top="850" w:right="850" w:bottom="850" w:left="1417" w:header="709" w:footer="709" w:gutter="0"/>
          <w:cols w:num="1" w:sep="0" w:space="720" w:equalWidth="1"/>
          <w:docGrid w:linePitch="360"/>
        </w:sectPr>
      </w:pPr>
      <w:r>
        <w:t xml:space="preserve">Программа реализуется в один этап в 2021 – 202</w:t>
      </w:r>
      <w:r>
        <w:t xml:space="preserve">8</w:t>
      </w:r>
      <w:r>
        <w:t xml:space="preserve"> годы.</w:t>
      </w:r>
      <w:r/>
    </w:p>
    <w:p>
      <w:pPr>
        <w:pStyle w:val="87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Перечень основных мероприятий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753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7"/>
        <w:gridCol w:w="1701"/>
        <w:gridCol w:w="1701"/>
        <w:gridCol w:w="849"/>
        <w:gridCol w:w="1"/>
        <w:gridCol w:w="2268"/>
        <w:gridCol w:w="992"/>
        <w:gridCol w:w="993"/>
        <w:gridCol w:w="992"/>
        <w:gridCol w:w="850"/>
        <w:gridCol w:w="993"/>
        <w:gridCol w:w="992"/>
        <w:gridCol w:w="99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37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Наименование мероприятия 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Категория расходов (капвложения, НИОКР и прочие расходы)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Сроки выполнения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Исполнители мероприятий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финансирования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(по годам, тыс.руб)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tabs>
                <w:tab w:val="left" w:pos="3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2021 год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2023 год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2024 год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2025 год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2027 </w:t>
            </w:r>
            <w:r>
              <w:rPr>
                <w:b/>
                <w:sz w:val="20"/>
                <w:szCs w:val="20"/>
                <w:lang w:eastAsia="en-US"/>
              </w:rPr>
              <w:t xml:space="preserve">год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75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1" w:type="dxa"/>
            <w:vAlign w:val="center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программы: Удовлетворить потребности населения в услугах пассажирского транспорта для бытовых и производственных нужд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1 </w:t>
            </w:r>
            <w:r>
              <w:rPr>
                <w:sz w:val="20"/>
                <w:szCs w:val="20"/>
              </w:rPr>
              <w:t xml:space="preserve">Оптимизация маршрутной сети пассажирского транспорта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 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округа, МБУ «Бутурлинпассажиравтотранс»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6778,00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8000,00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 xml:space="preserve">10600,00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1616</w:t>
            </w: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19531,30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17991,30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89060,60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Разработка предложений, направленных на совершенствование маршрутной сети пассажирского автотранспорта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округа, МБУ «Бутурлинпассажиравтотранс»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  <w:lang w:val="en-US"/>
              </w:rPr>
              <w:t xml:space="preserve">000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lang w:val="en-US"/>
              </w:rPr>
              <w:t xml:space="preserve">000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 xml:space="preserve">0.0000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1.2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Финансирование расходных обязательств по исполнению полномочий по организации транспортного обслуживания населения в границах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6778,00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10600,00</w:t>
            </w:r>
            <w:r>
              <w:rPr>
                <w:sz w:val="20"/>
                <w:szCs w:val="20"/>
                <w:highlight w:val="yellow"/>
                <w:lang w:val="en-US"/>
              </w:rPr>
            </w:r>
            <w:r>
              <w:rPr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16160,00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19531,30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lang w:eastAsia="en-US"/>
              </w:rPr>
              <w:t xml:space="preserve">17991,30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89060,60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работы предприятий, оказывающих услуги по перевозке пассажиров и багажа автомобильным транспортом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ind w:left="1309" w:hanging="130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обеспечение мероприятий, связанных с предотвращением влияния экономической ситуации из-за расп</w:t>
            </w:r>
            <w:r>
              <w:rPr>
                <w:sz w:val="20"/>
                <w:szCs w:val="20"/>
                <w:lang w:val="en-US" w:eastAsia="en-US"/>
              </w:rPr>
              <w:t xml:space="preserve">p</w:t>
            </w:r>
            <w:r>
              <w:rPr>
                <w:sz w:val="20"/>
                <w:szCs w:val="20"/>
                <w:lang w:eastAsia="en-US"/>
              </w:rPr>
              <w:t xml:space="preserve">остранения (</w:t>
            </w:r>
            <w:r>
              <w:rPr>
                <w:sz w:val="20"/>
                <w:szCs w:val="20"/>
                <w:lang w:val="en-US" w:eastAsia="en-US"/>
              </w:rPr>
              <w:t xml:space="preserve">COVID</w:t>
            </w:r>
            <w:r>
              <w:rPr>
                <w:sz w:val="20"/>
                <w:szCs w:val="20"/>
                <w:lang w:eastAsia="en-US"/>
              </w:rPr>
              <w:t xml:space="preserve">-19)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2.</w:t>
            </w:r>
            <w:r>
              <w:rPr>
                <w:sz w:val="20"/>
                <w:szCs w:val="20"/>
              </w:rPr>
              <w:t xml:space="preserve"> Устранение излишних административных барьеров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Мониторинг проблем и препятствий, сдерживающих развитие пассажирского автотранспорта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Оказание содействия в обеспечении участия предприятий, оказывающих услуги пассажирского автотранспорта, в районных и областных программах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Консультирование и оказание помощи предприятиям, оказывающим услуги пассажирского автотранспорта, в организации и совершенствовании охраны труда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Управление по юридическому и организационному обеспечению деятельности  администрации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0,0000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Подготовка и проведение совещаний, круглых столов по актуальным вопросам для предприятий, оказывающих услуги пассажирского автотранспорта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Управление ЖКХ и строительства администрации Бутурлинского муниципального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3.</w:t>
            </w:r>
            <w:r>
              <w:rPr>
                <w:sz w:val="20"/>
                <w:szCs w:val="20"/>
              </w:rPr>
              <w:t xml:space="preserve"> Обновление подвижного состава пассажирского 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12390,00000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1827,65368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14217.65368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пассажирского автотранспорта  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МБУ «Бутурлинпассажиравтотранс», Администрация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1781,800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 xml:space="preserve">0.00</w:t>
            </w:r>
            <w:r>
              <w:rPr>
                <w:sz w:val="20"/>
                <w:szCs w:val="20"/>
                <w:lang w:val="en-US" w:eastAsia="en-US"/>
              </w:rPr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14171.80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 газомоторного пассажирского автотранспорта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Переоборудование пассажирского автотранспорта под газомоторное топливо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45,85368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45,85368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4. </w:t>
            </w:r>
            <w:r>
              <w:rPr>
                <w:sz w:val="20"/>
                <w:szCs w:val="20"/>
              </w:rPr>
              <w:t xml:space="preserve">Создание материально-технической базы предприятий, оказывающих услуги пассажирского автотранспорта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 собственные средства предприятия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МБУ «Бутурлинпассажиравтотранс», Администрация Бутурлинского муниципального округа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190,00000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6397,04795</w:t>
            </w:r>
            <w:r>
              <w:rPr>
                <w:sz w:val="20"/>
                <w:szCs w:val="20"/>
                <w:highlight w:val="yellow"/>
                <w:lang w:val="en-US" w:eastAsia="en-US"/>
              </w:rPr>
            </w:r>
            <w:r>
              <w:rPr>
                <w:sz w:val="20"/>
                <w:szCs w:val="20"/>
                <w:highlight w:val="yellow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979,102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6397,04795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highlight w:val="yellow"/>
                <w:lang w:val="en-US" w:eastAsia="en-US"/>
              </w:rPr>
            </w:r>
            <w:r>
              <w:rPr>
                <w:sz w:val="20"/>
                <w:szCs w:val="20"/>
                <w:highlight w:val="yellow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13963,1979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оборудования для технического осмотра и ремонта автотранспорта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Собственные средства предприятия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МБУ «Бутурлинпассажиравтотранс»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Модернизация здания автостанции «Бутурлинская»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190,0000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6397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04795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30,177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tabs>
                <w:tab w:val="left" w:pos="649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6617,22495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автотранспортным предприятиям, оказывающим услуги пассажирского автотранспорта, в целях возмещения недополученных доходов и (или) финансового обеспечения (возмещения) затрат в связи с выполнением работ . оказанием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2021-2027 гг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948,925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6397,04795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0.00000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7345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97295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90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Индикаторы достижения цели и непосредственные результаты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firstLine="567"/>
        <w:jc w:val="both"/>
        <w:widowControl w:val="off"/>
      </w:pPr>
      <w:r>
        <w:t xml:space="preserve">Программные мероприятия направлены на решение задач Программы и обеспечивают преемственность государственной транспортной стратегии Россий</w:t>
      </w:r>
      <w:r>
        <w:t xml:space="preserve">ской Федерации на период до 2027</w:t>
      </w:r>
      <w:r>
        <w:t xml:space="preserve"> года на местном уровне.</w:t>
      </w:r>
      <w:r/>
    </w:p>
    <w:p>
      <w:pPr>
        <w:pStyle w:val="875"/>
        <w:ind w:firstLine="567"/>
        <w:jc w:val="both"/>
        <w:widowControl w:val="off"/>
      </w:pPr>
      <w:r>
        <w:t xml:space="preserve">Мероприятия по первому направлению – «Оптимизация маршрутной сети пассажирского автотранспорта» - предусматривают совершенствование маршрутной сети пассажирского автотранспорта, введение дополнительных маршрутов.</w:t>
      </w:r>
      <w:r/>
    </w:p>
    <w:p>
      <w:pPr>
        <w:pStyle w:val="875"/>
        <w:ind w:firstLine="567"/>
        <w:jc w:val="both"/>
        <w:widowControl w:val="off"/>
      </w:pPr>
      <w:r>
        <w:t xml:space="preserve">В рамках второго направления – «Устранение излишних административных барьеров» - планируется осуществить мероприятия по сопр</w:t>
      </w:r>
      <w:r>
        <w:t xml:space="preserve">овождению предприятия, оказывающего пассажирские перевозки по Бутурлинскому муниципальному округу, для участия в районных и областных программах. Обеспечение информационной и организационной поддержки, предусматривается организация совещаний, круглых столо</w:t>
      </w:r>
      <w:r>
        <w:t xml:space="preserve">в, конференций по раскрытию перспектив развития пассажирского автотранспорта, проведение обследований предприятий с целью формирования объективной информации о состоянии пассажирского автотранспорта и выработки более эффективных механизмов решения проблем.</w:t>
      </w:r>
      <w:r/>
    </w:p>
    <w:p>
      <w:pPr>
        <w:pStyle w:val="901"/>
        <w:ind w:firstLine="567"/>
        <w:jc w:val="both"/>
      </w:pPr>
      <w:r>
        <w:t xml:space="preserve">Мероприятия по третьему и четвертому направлению – «Обновление подвижного состава пассажирского транспорта», «Создание материально-технической базы предприятия, оказывающего ус</w:t>
      </w:r>
      <w:r>
        <w:t xml:space="preserve">луги пассажирского автотранспорта» направлены на формирование современной материально-технической базы, обновление автопарка предприятий, что напрямую связано с качественным и безопасным уровнем обслуживания населения Бутурлинского муниципального округа   </w:t>
      </w:r>
      <w:r/>
    </w:p>
    <w:p>
      <w:pPr>
        <w:pStyle w:val="901"/>
        <w:jc w:val="center"/>
        <w:rPr>
          <w:b/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6838" w:h="11906" w:orient="landscape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индикаторах и непосредственных результатах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margin" w:tblpXSpec="center" w:vertAnchor="text" w:tblpY="71" w:leftFromText="180" w:topFromText="0" w:rightFromText="180" w:bottomFromText="0"/>
        <w:tblW w:w="10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853"/>
        <w:gridCol w:w="854"/>
        <w:gridCol w:w="844"/>
        <w:gridCol w:w="844"/>
        <w:gridCol w:w="794"/>
        <w:gridCol w:w="816"/>
        <w:gridCol w:w="743"/>
        <w:gridCol w:w="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№ п/п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Наименование индикатора /непосредственного результата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Ед. измерения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Значение индикатора/непосредственного результата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2020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  <w:framePr w:hSpace="180" w:wrap="around" w:vAnchor="text" w:hAnchor="margin" w:xAlign="center" w:y="71"/>
            </w:pPr>
            <w:r>
              <w:t xml:space="preserve">2021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2022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2023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2024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2025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val="en-US"/>
              </w:rPr>
              <w:framePr w:hSpace="180" w:wrap="around" w:vAnchor="text" w:hAnchor="margin" w:xAlign="center" w:y="71"/>
            </w:pPr>
            <w:r>
              <w:rPr>
                <w:lang w:val="en-US"/>
              </w:rPr>
              <w:t xml:space="preserve">2027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Муниципальная программа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Индикатор 1.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Доля пассажирского подвижного состава с истекшим нормативным сроком службы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%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26,0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50,0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66,0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27,0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25,0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23,0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23,0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23,0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Индикатор 2. Количество подвижного состава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Ед.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3.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Индикатор 3.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Сохранение коэффициента обеспеченности населения автомобильным транспортом общего пользования на 1000 жителей не ниже 1,1.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1,15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1,15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1,15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Непосредственный результат 1.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Увеличение количества перевезенных пассажиров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Тыс. чел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285,0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288,0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290,0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295,0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300,0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300,0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framePr w:hSpace="180" w:wrap="around" w:vAnchor="text" w:hAnchor="margin" w:xAlign="center" w:y="71"/>
            </w:pPr>
            <w:r>
              <w:t xml:space="preserve">300,0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Непосредственный результат 2. Увеличение количества маршрутов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Ед.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  <w:framePr w:hSpace="180" w:wrap="around" w:vAnchor="text" w:hAnchor="margin" w:xAlign="center" w:y="71"/>
            </w:pPr>
            <w: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framePr w:hSpace="180" w:wrap="around" w:vAnchor="text" w:hAnchor="margin" w:xAlign="center" w:y="71"/>
            </w:pPr>
            <w:r>
              <w:t xml:space="preserve">15</w:t>
            </w:r>
            <w:r/>
          </w:p>
        </w:tc>
      </w:tr>
    </w:tbl>
    <w:p>
      <w:pPr>
        <w:pStyle w:val="875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Меры правового регулирования в рамках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widowControl w:val="off"/>
      </w:pPr>
      <w:r/>
      <w:r/>
    </w:p>
    <w:p>
      <w:pPr>
        <w:pStyle w:val="875"/>
        <w:widowControl w:val="off"/>
      </w:pPr>
      <w:r>
        <w:t xml:space="preserve">Принятие новых правовых актов в рамках Программы не планируется.</w:t>
      </w:r>
      <w:r/>
    </w:p>
    <w:p>
      <w:pPr>
        <w:pStyle w:val="875"/>
        <w:ind w:left="-851" w:right="-1417" w:firstLine="540"/>
        <w:jc w:val="both"/>
        <w:widowControl w:val="off"/>
        <w:tabs>
          <w:tab w:val="left" w:pos="864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firstLine="54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Ресурсное обеспечение реализации Программы за счет средств районного бюджета Бутурлинского муниципального округа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firstLine="540"/>
        <w:jc w:val="center"/>
        <w:widowControl w:val="off"/>
      </w:pPr>
      <w:r/>
      <w:r/>
    </w:p>
    <w:tbl>
      <w:tblPr>
        <w:tblW w:w="1084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33"/>
        <w:gridCol w:w="860"/>
        <w:gridCol w:w="820"/>
        <w:gridCol w:w="935"/>
        <w:gridCol w:w="796"/>
        <w:gridCol w:w="851"/>
        <w:gridCol w:w="816"/>
        <w:gridCol w:w="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Статус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Подпрограмма муниципальной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заказчик-координатор, соисполнители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8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</w:pPr>
            <w:r>
              <w:t xml:space="preserve">Расходы (тыс. руб),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2021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2024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2027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t xml:space="preserve">Муниципальная программа «Развитие пассажирского автотранспорта на территории Бутурлинского му</w:t>
            </w:r>
            <w:r>
              <w:t xml:space="preserve">ниципального округа на 2021-2027</w:t>
            </w:r>
            <w:r>
              <w:t xml:space="preserve"> годы»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всего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t xml:space="preserve">6968,00000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26787,</w:t>
            </w:r>
            <w:r>
              <w:t xml:space="preserve">04793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12806,7557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pStyle w:val="875"/>
              <w:widowControl w:val="off"/>
              <w:rPr>
                <w:lang w:val="en-US" w:eastAsia="en-US"/>
              </w:rPr>
            </w:pPr>
            <w:r>
              <w:rPr>
                <w:lang w:eastAsia="en-US"/>
              </w:rPr>
              <w:t xml:space="preserve">16997,04795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16160</w:t>
            </w:r>
            <w:r>
              <w:rPr>
                <w:lang w:eastAsia="en-US"/>
              </w:rPr>
              <w:t xml:space="preserve">,00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19531,30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17991,30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6968,00000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t xml:space="preserve">26787,</w:t>
            </w:r>
            <w:r>
              <w:t xml:space="preserve">04793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12806,7557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pStyle w:val="875"/>
              <w:widowControl w:val="off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16997,04795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16160,00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19531,30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17991,30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Соисполнитель Программы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875"/>
        <w:ind w:firstLine="54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firstLine="540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Прогнозная оценка расходов на реализацию Программы за счет всех источников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875"/>
        <w:ind w:firstLine="540"/>
        <w:jc w:val="center"/>
        <w:widowControl w:val="off"/>
      </w:pPr>
      <w:r/>
      <w:r/>
    </w:p>
    <w:tbl>
      <w:tblPr>
        <w:tblW w:w="10718" w:type="dxa"/>
        <w:tblInd w:w="-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8"/>
        <w:gridCol w:w="1309"/>
        <w:gridCol w:w="2247"/>
        <w:gridCol w:w="992"/>
        <w:gridCol w:w="935"/>
        <w:gridCol w:w="935"/>
        <w:gridCol w:w="935"/>
        <w:gridCol w:w="935"/>
        <w:gridCol w:w="796"/>
        <w:gridCol w:w="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Статус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Наименование подпрограммы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Источники финансирования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Оценка расходов (тыс.руб), годы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2021г.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2022г.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2023г.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2024г.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2026г.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2027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Муниципальная программа «Развитие пассажирского автотранспорта на территории Бутурлинского муниципального округа  Нижегородской области  на 2021-2027 годы»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t xml:space="preserve">Всего (1)+(2)+(3)+(4)+(5)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6968,00000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26787,</w:t>
            </w:r>
            <w:r>
              <w:t xml:space="preserve">04793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12806,7557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16997,04795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16160,00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19531,30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17991,30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widowControl w:val="off"/>
              <w:rPr>
                <w:lang w:eastAsia="en-US"/>
              </w:rPr>
            </w:pPr>
            <w:r>
              <w:t xml:space="preserve">(1) расходы местных бюджетов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6968,00000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26787,</w:t>
            </w:r>
            <w:r>
              <w:t xml:space="preserve">04793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12806,7557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highlight w:val="yellow"/>
                <w:lang w:val="en-US" w:eastAsia="en-US"/>
              </w:rPr>
            </w:pPr>
            <w:r>
              <w:rPr>
                <w:lang w:val="en-US" w:eastAsia="en-US"/>
              </w:rPr>
              <w:t xml:space="preserve">16997</w:t>
            </w:r>
            <w:r>
              <w:rPr>
                <w:lang w:eastAsia="en-US"/>
              </w:rPr>
              <w:t xml:space="preserve">,</w:t>
            </w:r>
            <w:r>
              <w:rPr>
                <w:lang w:val="en-US" w:eastAsia="en-US"/>
              </w:rPr>
              <w:t xml:space="preserve">04795</w:t>
            </w:r>
            <w:r>
              <w:rPr>
                <w:highlight w:val="yellow"/>
                <w:lang w:val="en-US" w:eastAsia="en-US"/>
              </w:rPr>
            </w:r>
            <w:r>
              <w:rPr>
                <w:highlight w:val="yellow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16160,00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19531,30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17991,30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widowControl w:val="off"/>
              <w:rPr>
                <w:lang w:eastAsia="en-US"/>
              </w:rPr>
            </w:pPr>
            <w:r>
              <w:t xml:space="preserve">(2)расходы областного бюджета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widowControl w:val="off"/>
              <w:rPr>
                <w:lang w:eastAsia="en-US"/>
              </w:rPr>
            </w:pPr>
            <w:r>
              <w:t xml:space="preserve">(3)расходы федерального бюджета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lang w:eastAsia="en-US"/>
              </w:rPr>
            </w:pPr>
            <w:r>
              <w:t xml:space="preserve">(4)юридические лица и индивидуальные предприниматели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0,0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i/>
                <w:lang w:eastAsia="en-US"/>
              </w:rPr>
            </w:pPr>
            <w:r>
              <w:rPr>
                <w:i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0,0</w:t>
            </w:r>
            <w:r>
              <w:rPr>
                <w:i/>
                <w:lang w:eastAsia="en-US"/>
              </w:rPr>
            </w:r>
            <w:r>
              <w:rPr>
                <w:i/>
                <w:lang w:eastAsia="en-US"/>
              </w:rPr>
            </w:r>
          </w:p>
        </w:tc>
      </w:tr>
    </w:tbl>
    <w:p>
      <w:pPr>
        <w:pStyle w:val="875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06"/>
        <w:contextualSpacing/>
        <w:ind w:firstLine="567"/>
        <w:jc w:val="center"/>
        <w:spacing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06"/>
        <w:contextualSpacing/>
        <w:ind w:firstLine="567"/>
        <w:jc w:val="center"/>
        <w:spacing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06"/>
        <w:contextualSpacing/>
        <w:ind w:firstLine="567"/>
        <w:jc w:val="center"/>
        <w:spacing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06"/>
        <w:contextualSpacing/>
        <w:ind w:firstLine="567"/>
        <w:jc w:val="center"/>
        <w:spacing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2.7. Анализ рисков реализации Программы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05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Правовые риски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tabs>
          <w:tab w:val="left" w:pos="567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Правовые риски связаны с изменением федерального и р</w:t>
      </w:r>
      <w:r>
        <w:rPr>
          <w:rFonts w:ascii="Times New Roman" w:hAnsi="Times New Roman"/>
          <w:sz w:val="24"/>
          <w:szCs w:val="24"/>
          <w:lang w:eastAsia="ru-RU"/>
        </w:rPr>
        <w:t xml:space="preserve">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минимизации воздействия данной группы рисков планируется: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проводить мониторинг планируемых изменений в федеральном и региональном законодательстве.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Финансовые риски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Финансовые риски связаны с возни</w:t>
      </w:r>
      <w:r>
        <w:rPr>
          <w:rFonts w:ascii="Times New Roman" w:hAnsi="Times New Roman"/>
          <w:sz w:val="24"/>
          <w:szCs w:val="24"/>
          <w:lang w:eastAsia="ru-RU"/>
        </w:rPr>
        <w:t xml:space="preserve">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Способами ограничения финансовых рисков выступают: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определение приоритетов для первоочередного финансирования;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планирование бюджетных расходов с применением методик оценки эффективности бюджетных расходов;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привлечение средств федерального бюджета и внебюджетного финансирования, в том числе выявление и внедрение лучшего опыта привлечения внебюджетных ресурсов.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Административные риски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</w:t>
      </w:r>
      <w:r>
        <w:rPr>
          <w:rFonts w:ascii="Times New Roman" w:hAnsi="Times New Roman"/>
          <w:sz w:val="24"/>
          <w:szCs w:val="24"/>
          <w:lang w:eastAsia="ru-RU"/>
        </w:rPr>
        <w:t xml:space="preserve">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Основными условиями минимизации административных рисков являются: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формирование эффективной системы управления реализацией Программы;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заключение и контроль реализации соглашений о взаимодействии с заинтересованными сторонами;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регулярный мониторинг реализации и своевременная корректировка мероприятий Программы.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Подпрограмма</w:t>
      </w:r>
      <w:r>
        <w:rPr>
          <w:rFonts w:ascii="Times New Roman" w:hAnsi="Times New Roman"/>
          <w:b/>
          <w:sz w:val="28"/>
          <w:szCs w:val="28"/>
        </w:rPr>
        <w:t xml:space="preserve"> «Обеспечение реализации муниципальной программы»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5"/>
        <w:ind w:firstLine="567"/>
        <w:jc w:val="both"/>
        <w:widowControl w:val="off"/>
      </w:pPr>
      <w:r/>
      <w:r/>
    </w:p>
    <w:p>
      <w:pPr>
        <w:pStyle w:val="875"/>
        <w:ind w:firstLine="567"/>
        <w:jc w:val="center"/>
        <w:widowControl w:val="off"/>
      </w:pPr>
      <w:r>
        <w:t xml:space="preserve">Аналитическое распределение средств районного бюджета Бутурлинского муниципального округа подпрограммы «Обеспечение реализации муниципальной программы»</w:t>
      </w:r>
      <w:r/>
    </w:p>
    <w:p>
      <w:pPr>
        <w:pStyle w:val="875"/>
        <w:ind w:firstLine="567"/>
        <w:jc w:val="center"/>
        <w:widowControl w:val="off"/>
      </w:pPr>
      <w:r/>
      <w:r/>
    </w:p>
    <w:tbl>
      <w:tblPr>
        <w:tblW w:w="31680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716"/>
        <w:gridCol w:w="2580"/>
        <w:gridCol w:w="5156"/>
        <w:gridCol w:w="5156"/>
        <w:gridCol w:w="5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программы, подпрограммы муниципальной программы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Код бюджетной классификации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Расходы (тыс.руб),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ГРБС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Рз Пр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ЦСР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ВР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2019 год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2021 год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2022 год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год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5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Муниципальная программа (всего)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«Развитие пассажирского автотранспорта на территории Бутурлинского муниципального округа Нижегородской области  на 2021-2027 годы»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6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5"/>
        <w:ind w:firstLine="567"/>
        <w:jc w:val="both"/>
        <w:widowControl w:val="off"/>
      </w:pPr>
      <w:r>
        <w:t xml:space="preserve"> </w:t>
      </w:r>
      <w:r/>
    </w:p>
    <w:p>
      <w:pPr>
        <w:pStyle w:val="904"/>
        <w:ind w:left="450" w:right="-8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4"/>
        <w:numPr>
          <w:ilvl w:val="0"/>
          <w:numId w:val="1"/>
        </w:numPr>
        <w:ind w:right="-8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 Программы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5"/>
        <w:jc w:val="both"/>
      </w:pPr>
      <w:r>
        <w:t xml:space="preserve">Оценка эффективности работы по выполнению мероприятий программы может производиться исходя из:</w:t>
      </w:r>
      <w:r/>
    </w:p>
    <w:p>
      <w:pPr>
        <w:pStyle w:val="875"/>
        <w:jc w:val="both"/>
      </w:pPr>
      <w:r>
        <w:t xml:space="preserve">- количественных показателей эффективности (рост количества перевезенных пассажиров, увеличение подвижного состава, разработка новых маршрутов);</w:t>
      </w:r>
      <w:r/>
    </w:p>
    <w:p>
      <w:pPr>
        <w:pStyle w:val="875"/>
        <w:jc w:val="both"/>
      </w:pPr>
      <w:r>
        <w:t xml:space="preserve">- качественных показателей эффективности (уменьшение доли подвижного состава с истекшим нормативным сроком службы);</w:t>
      </w:r>
      <w:r/>
    </w:p>
    <w:p>
      <w:pPr>
        <w:pStyle w:val="875"/>
        <w:jc w:val="both"/>
      </w:pPr>
      <w:r>
        <w:t xml:space="preserve">- экономических показателей эффективности (целевое расходование выделенных бюджетных средств, собственных средств предприятия).</w:t>
      </w:r>
      <w:r/>
    </w:p>
    <w:p>
      <w:pPr>
        <w:pStyle w:val="875"/>
        <w:ind w:left="-567" w:firstLine="567"/>
        <w:jc w:val="both"/>
      </w:pPr>
      <w:r>
        <w:t xml:space="preserve">Показатели непосредственных результатов:</w:t>
      </w:r>
      <w:r/>
    </w:p>
    <w:p>
      <w:pPr>
        <w:pStyle w:val="875"/>
        <w:ind w:left="-567" w:firstLine="567"/>
        <w:jc w:val="both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8"/>
        <w:gridCol w:w="888"/>
        <w:gridCol w:w="903"/>
        <w:gridCol w:w="903"/>
        <w:gridCol w:w="1002"/>
        <w:gridCol w:w="984"/>
        <w:gridCol w:w="924"/>
        <w:gridCol w:w="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2021 год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2022 год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2023 год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2024 год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2025 год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2026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2027 год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Рост количества перевезенных пассажиров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Увеличение подвижного состава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" w:type="dxa"/>
            <w:vAlign w:val="top"/>
            <w:textDirection w:val="lrTb"/>
            <w:noWrap w:val="false"/>
          </w:tcPr>
          <w:p>
            <w:pPr>
              <w:pStyle w:val="8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49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separate"/>
    </w:r>
    <w:r>
      <w:rPr>
        <w:rStyle w:val="881"/>
      </w:rPr>
      <w:t xml:space="preserve">14</w: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5"/>
    <w:next w:val="875"/>
    <w:link w:val="70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1 Char"/>
    <w:link w:val="69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1">
    <w:name w:val="Heading 2"/>
    <w:basedOn w:val="875"/>
    <w:next w:val="875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2">
    <w:name w:val="Heading 2 Char"/>
    <w:link w:val="701"/>
    <w:uiPriority w:val="9"/>
    <w:rPr>
      <w:rFonts w:ascii="Liberation Sans" w:hAnsi="Liberation Sans" w:eastAsia="Liberation Sans" w:cs="Liberation Sans"/>
      <w:sz w:val="34"/>
    </w:rPr>
  </w:style>
  <w:style w:type="paragraph" w:styleId="703">
    <w:name w:val="Heading 3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4">
    <w:name w:val="Heading 3 Char"/>
    <w:link w:val="70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7">
    <w:name w:val="Heading 5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9">
    <w:name w:val="Heading 6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1">
    <w:name w:val="Heading 7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3">
    <w:name w:val="Heading 8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5">
    <w:name w:val="Heading 9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character" w:styleId="876">
    <w:name w:val="Основной шрифт абзаца"/>
    <w:next w:val="876"/>
    <w:link w:val="875"/>
    <w:semiHidden/>
  </w:style>
  <w:style w:type="table" w:styleId="877">
    <w:name w:val="Обычная таблица"/>
    <w:next w:val="877"/>
    <w:link w:val="875"/>
    <w:semiHidden/>
    <w:tblPr/>
  </w:style>
  <w:style w:type="numbering" w:styleId="878">
    <w:name w:val="Нет списка"/>
    <w:next w:val="878"/>
    <w:link w:val="875"/>
    <w:uiPriority w:val="99"/>
    <w:semiHidden/>
    <w:unhideWhenUsed/>
  </w:style>
  <w:style w:type="character" w:styleId="879">
    <w:name w:val="Знак сноски"/>
    <w:next w:val="879"/>
    <w:link w:val="875"/>
    <w:semiHidden/>
    <w:rPr>
      <w:vertAlign w:val="superscript"/>
    </w:rPr>
  </w:style>
  <w:style w:type="character" w:styleId="880">
    <w:name w:val="Гиперссылка"/>
    <w:next w:val="880"/>
    <w:link w:val="875"/>
    <w:rPr>
      <w:color w:val="0000ff"/>
      <w:u w:val="single"/>
    </w:rPr>
  </w:style>
  <w:style w:type="character" w:styleId="881">
    <w:name w:val="Номер страницы"/>
    <w:next w:val="881"/>
    <w:link w:val="875"/>
  </w:style>
  <w:style w:type="paragraph" w:styleId="882">
    <w:name w:val="Текст выноски"/>
    <w:basedOn w:val="875"/>
    <w:next w:val="882"/>
    <w:link w:val="883"/>
    <w:semiHidden/>
    <w:rPr>
      <w:rFonts w:ascii="Tahoma" w:hAnsi="Tahoma" w:cs="Tahoma"/>
      <w:sz w:val="16"/>
      <w:szCs w:val="16"/>
    </w:rPr>
  </w:style>
  <w:style w:type="character" w:styleId="883">
    <w:name w:val="Текст выноски Знак"/>
    <w:next w:val="883"/>
    <w:link w:val="882"/>
    <w:semiHidden/>
    <w:rPr>
      <w:rFonts w:ascii="Tahoma" w:hAnsi="Tahoma" w:cs="Tahoma"/>
      <w:sz w:val="16"/>
      <w:szCs w:val="16"/>
    </w:rPr>
  </w:style>
  <w:style w:type="paragraph" w:styleId="884">
    <w:name w:val="Схема документа"/>
    <w:basedOn w:val="875"/>
    <w:next w:val="884"/>
    <w:link w:val="88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885">
    <w:name w:val="Схема документа Знак"/>
    <w:next w:val="885"/>
    <w:link w:val="884"/>
    <w:semiHidden/>
    <w:rPr>
      <w:rFonts w:ascii="Tahoma" w:hAnsi="Tahoma" w:cs="Tahoma"/>
      <w:shd w:val="clear" w:color="auto" w:fill="000080"/>
    </w:rPr>
  </w:style>
  <w:style w:type="paragraph" w:styleId="886">
    <w:name w:val="Текст сноски"/>
    <w:basedOn w:val="875"/>
    <w:next w:val="886"/>
    <w:link w:val="887"/>
    <w:semiHidden/>
    <w:rPr>
      <w:sz w:val="20"/>
      <w:szCs w:val="20"/>
    </w:rPr>
  </w:style>
  <w:style w:type="character" w:styleId="887">
    <w:name w:val="Текст сноски Знак"/>
    <w:next w:val="887"/>
    <w:link w:val="886"/>
    <w:semiHidden/>
  </w:style>
  <w:style w:type="paragraph" w:styleId="888">
    <w:name w:val="Верхний колонтитул"/>
    <w:basedOn w:val="875"/>
    <w:next w:val="888"/>
    <w:link w:val="889"/>
    <w:pPr>
      <w:tabs>
        <w:tab w:val="center" w:pos="4536" w:leader="none"/>
        <w:tab w:val="right" w:pos="9072" w:leader="none"/>
      </w:tabs>
    </w:pPr>
    <w:rPr>
      <w:szCs w:val="20"/>
    </w:rPr>
  </w:style>
  <w:style w:type="character" w:styleId="889">
    <w:name w:val="Верхний колонтитул Знак"/>
    <w:next w:val="889"/>
    <w:link w:val="888"/>
    <w:rPr>
      <w:sz w:val="24"/>
      <w:lang w:val="ru-RU" w:eastAsia="ru-RU" w:bidi="ar-SA"/>
    </w:rPr>
  </w:style>
  <w:style w:type="paragraph" w:styleId="890">
    <w:name w:val="Основной текст"/>
    <w:basedOn w:val="875"/>
    <w:next w:val="890"/>
    <w:link w:val="891"/>
    <w:rPr>
      <w:sz w:val="28"/>
    </w:rPr>
  </w:style>
  <w:style w:type="character" w:styleId="891">
    <w:name w:val="Основной текст Знак"/>
    <w:next w:val="891"/>
    <w:link w:val="890"/>
    <w:rPr>
      <w:sz w:val="28"/>
      <w:szCs w:val="24"/>
      <w:lang w:val="ru-RU" w:eastAsia="ru-RU" w:bidi="ar-SA"/>
    </w:rPr>
  </w:style>
  <w:style w:type="paragraph" w:styleId="892">
    <w:name w:val="Основной текст с отступом"/>
    <w:basedOn w:val="875"/>
    <w:next w:val="892"/>
    <w:link w:val="893"/>
    <w:pPr>
      <w:ind w:left="283"/>
      <w:spacing w:after="120"/>
    </w:pPr>
  </w:style>
  <w:style w:type="character" w:styleId="893">
    <w:name w:val="Основной текст с отступом Знак"/>
    <w:next w:val="893"/>
    <w:link w:val="892"/>
    <w:rPr>
      <w:sz w:val="24"/>
      <w:szCs w:val="24"/>
    </w:rPr>
  </w:style>
  <w:style w:type="paragraph" w:styleId="894">
    <w:name w:val="Нижний колонтитул"/>
    <w:basedOn w:val="875"/>
    <w:next w:val="894"/>
    <w:link w:val="895"/>
    <w:pPr>
      <w:tabs>
        <w:tab w:val="center" w:pos="4677" w:leader="none"/>
        <w:tab w:val="right" w:pos="9355" w:leader="none"/>
      </w:tabs>
    </w:pPr>
  </w:style>
  <w:style w:type="character" w:styleId="895">
    <w:name w:val="Нижний колонтитул Знак"/>
    <w:next w:val="895"/>
    <w:link w:val="894"/>
    <w:rPr>
      <w:sz w:val="24"/>
      <w:szCs w:val="24"/>
    </w:rPr>
  </w:style>
  <w:style w:type="paragraph" w:styleId="896">
    <w:name w:val="Обычный (веб)"/>
    <w:basedOn w:val="875"/>
    <w:next w:val="896"/>
    <w:link w:val="875"/>
    <w:pPr>
      <w:spacing w:before="100" w:beforeAutospacing="1" w:after="100" w:afterAutospacing="1"/>
    </w:pPr>
  </w:style>
  <w:style w:type="table" w:styleId="897">
    <w:name w:val="Сетка таблицы"/>
    <w:basedOn w:val="877"/>
    <w:next w:val="897"/>
    <w:link w:val="875"/>
    <w:tblPr/>
  </w:style>
  <w:style w:type="paragraph" w:styleId="898">
    <w:name w:val="ConsPlusTitle"/>
    <w:next w:val="898"/>
    <w:link w:val="875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99">
    <w:name w:val="ConsPlusNonformat"/>
    <w:next w:val="899"/>
    <w:link w:val="87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0">
    <w:name w:val="ConsPlusCell"/>
    <w:next w:val="900"/>
    <w:link w:val="875"/>
    <w:pPr>
      <w:widowControl w:val="off"/>
    </w:pPr>
    <w:rPr>
      <w:rFonts w:ascii="Arial" w:hAnsi="Arial" w:cs="Arial"/>
      <w:lang w:val="ru-RU" w:eastAsia="ru-RU" w:bidi="ar-SA"/>
    </w:rPr>
  </w:style>
  <w:style w:type="paragraph" w:styleId="901">
    <w:name w:val="Нормальный"/>
    <w:next w:val="901"/>
    <w:link w:val="875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902">
    <w:name w:val="ConsPlusNormal"/>
    <w:next w:val="902"/>
    <w:link w:val="87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3">
    <w:name w:val="Абзац списка"/>
    <w:basedOn w:val="875"/>
    <w:next w:val="903"/>
    <w:link w:val="875"/>
    <w:qFormat/>
    <w:pPr>
      <w:contextualSpacing/>
      <w:ind w:left="720"/>
    </w:pPr>
  </w:style>
  <w:style w:type="paragraph" w:styleId="904">
    <w:name w:val="List Paragraph"/>
    <w:basedOn w:val="875"/>
    <w:next w:val="904"/>
    <w:link w:val="87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05">
    <w:name w:val="No Spacing"/>
    <w:next w:val="905"/>
    <w:link w:val="875"/>
    <w:rPr>
      <w:rFonts w:ascii="Calibri" w:hAnsi="Calibri"/>
      <w:sz w:val="22"/>
      <w:szCs w:val="22"/>
      <w:lang w:val="ru-RU" w:eastAsia="en-US" w:bidi="ar-SA"/>
    </w:rPr>
  </w:style>
  <w:style w:type="paragraph" w:styleId="906">
    <w:name w:val="msonormalcxspmiddle"/>
    <w:basedOn w:val="875"/>
    <w:next w:val="906"/>
    <w:link w:val="875"/>
    <w:pPr>
      <w:spacing w:before="100" w:beforeAutospacing="1" w:after="100" w:afterAutospacing="1"/>
    </w:pPr>
  </w:style>
  <w:style w:type="paragraph" w:styleId="907">
    <w:name w:val="msonormalcxsplast"/>
    <w:basedOn w:val="875"/>
    <w:next w:val="907"/>
    <w:link w:val="875"/>
    <w:pPr>
      <w:spacing w:before="100" w:beforeAutospacing="1" w:after="100" w:afterAutospacing="1"/>
    </w:pPr>
  </w:style>
  <w:style w:type="paragraph" w:styleId="908">
    <w:name w:val="msonormalcxspmiddlecxsplast"/>
    <w:basedOn w:val="875"/>
    <w:next w:val="908"/>
    <w:link w:val="875"/>
    <w:pPr>
      <w:spacing w:before="100" w:beforeAutospacing="1" w:after="100" w:afterAutospacing="1"/>
    </w:pPr>
  </w:style>
  <w:style w:type="paragraph" w:styleId="909">
    <w:name w:val="msonormalcxspmiddlecxspmiddle"/>
    <w:basedOn w:val="875"/>
    <w:next w:val="909"/>
    <w:link w:val="875"/>
    <w:pPr>
      <w:spacing w:before="100" w:beforeAutospacing="1" w:after="100" w:afterAutospacing="1"/>
    </w:pPr>
  </w:style>
  <w:style w:type="paragraph" w:styleId="910">
    <w:name w:val="msonormalcxspmiddlecxspmiddlecxspmiddle"/>
    <w:basedOn w:val="875"/>
    <w:next w:val="910"/>
    <w:link w:val="875"/>
    <w:pPr>
      <w:spacing w:before="100" w:beforeAutospacing="1" w:after="100" w:afterAutospacing="1"/>
    </w:p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</dc:creator>
  <cp:lastModifiedBy>ekonomika-3</cp:lastModifiedBy>
  <cp:revision>43</cp:revision>
  <dcterms:created xsi:type="dcterms:W3CDTF">2024-12-24T12:59:00Z</dcterms:created>
  <dcterms:modified xsi:type="dcterms:W3CDTF">2026-04-23T10:09:41Z</dcterms:modified>
  <cp:version>983040</cp:version>
</cp:coreProperties>
</file>